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F5D50" w14:textId="77777777" w:rsidR="0071170A" w:rsidRDefault="0071170A" w:rsidP="00960A56">
      <w:pPr>
        <w:spacing w:after="0"/>
        <w:contextualSpacing/>
      </w:pPr>
      <w:bookmarkStart w:id="0" w:name="_GoBack"/>
    </w:p>
    <w:p w14:paraId="724A3F31" w14:textId="77777777" w:rsidR="0071170A" w:rsidRDefault="0071170A" w:rsidP="00960A56">
      <w:pPr>
        <w:spacing w:after="0"/>
        <w:contextualSpacing/>
      </w:pPr>
    </w:p>
    <w:p w14:paraId="00F6CDA7" w14:textId="77777777" w:rsidR="0071170A" w:rsidRDefault="0071170A" w:rsidP="00960A56">
      <w:pPr>
        <w:spacing w:after="0"/>
        <w:contextualSpacing/>
        <w:jc w:val="center"/>
      </w:pPr>
    </w:p>
    <w:p w14:paraId="7C8E3815" w14:textId="77777777" w:rsidR="0071170A" w:rsidRDefault="0071170A" w:rsidP="00960A56">
      <w:pPr>
        <w:spacing w:after="0"/>
        <w:contextualSpacing/>
        <w:jc w:val="center"/>
      </w:pPr>
    </w:p>
    <w:p w14:paraId="6A40825D" w14:textId="77777777" w:rsidR="0071170A" w:rsidRDefault="0071170A" w:rsidP="00960A56">
      <w:pPr>
        <w:spacing w:after="0"/>
        <w:contextualSpacing/>
        <w:jc w:val="center"/>
      </w:pPr>
    </w:p>
    <w:p w14:paraId="7C5AF47F" w14:textId="77777777" w:rsidR="0071170A" w:rsidRDefault="0071170A" w:rsidP="00960A56">
      <w:pPr>
        <w:spacing w:after="0"/>
        <w:contextualSpacing/>
        <w:jc w:val="center"/>
      </w:pPr>
    </w:p>
    <w:p w14:paraId="4D2ECA87" w14:textId="77777777" w:rsidR="0071170A" w:rsidRDefault="0071170A" w:rsidP="00960A56">
      <w:pPr>
        <w:spacing w:after="0"/>
        <w:contextualSpacing/>
        <w:jc w:val="center"/>
      </w:pPr>
    </w:p>
    <w:p w14:paraId="3829835F" w14:textId="77777777" w:rsidR="0071170A" w:rsidRDefault="0071170A" w:rsidP="00960A56">
      <w:pPr>
        <w:spacing w:after="0"/>
        <w:contextualSpacing/>
        <w:jc w:val="center"/>
      </w:pPr>
    </w:p>
    <w:p w14:paraId="7D665D5B" w14:textId="5C4087D5" w:rsidR="00E76C98" w:rsidRDefault="0096483B" w:rsidP="00960A56">
      <w:pPr>
        <w:spacing w:after="0"/>
        <w:contextualSpacing/>
        <w:jc w:val="center"/>
      </w:pPr>
      <w:r w:rsidRPr="0071170A">
        <w:t>Current Legal Requirements for An Organization</w:t>
      </w:r>
    </w:p>
    <w:p w14:paraId="24AB1989" w14:textId="106E2DA3" w:rsidR="0071170A" w:rsidRDefault="0096483B" w:rsidP="00960A56">
      <w:pPr>
        <w:spacing w:after="0"/>
        <w:contextualSpacing/>
        <w:jc w:val="center"/>
      </w:pPr>
      <w:r>
        <w:t>Student’s Name</w:t>
      </w:r>
    </w:p>
    <w:p w14:paraId="196C906C" w14:textId="7BFE26D0" w:rsidR="0071170A" w:rsidRDefault="0096483B" w:rsidP="00960A56">
      <w:pPr>
        <w:spacing w:after="0"/>
        <w:contextualSpacing/>
        <w:jc w:val="center"/>
      </w:pPr>
      <w:r>
        <w:t>Institution Affiliations</w:t>
      </w:r>
    </w:p>
    <w:p w14:paraId="4FBF5D89" w14:textId="77777777" w:rsidR="00E76C98" w:rsidRDefault="00E76C98" w:rsidP="00960A56">
      <w:pPr>
        <w:spacing w:after="0"/>
        <w:ind w:firstLine="720"/>
        <w:contextualSpacing/>
      </w:pPr>
    </w:p>
    <w:p w14:paraId="34DAFA17" w14:textId="77777777" w:rsidR="00E76C98" w:rsidRDefault="00E76C98" w:rsidP="00960A56">
      <w:pPr>
        <w:spacing w:after="0"/>
        <w:ind w:firstLine="720"/>
        <w:contextualSpacing/>
      </w:pPr>
    </w:p>
    <w:p w14:paraId="0CD669AF" w14:textId="77777777" w:rsidR="00E76C98" w:rsidRDefault="00E76C98" w:rsidP="00960A56">
      <w:pPr>
        <w:spacing w:after="0"/>
        <w:ind w:firstLine="720"/>
        <w:contextualSpacing/>
      </w:pPr>
    </w:p>
    <w:p w14:paraId="09C87665" w14:textId="77777777" w:rsidR="0071170A" w:rsidRDefault="0096483B" w:rsidP="00960A56">
      <w:pPr>
        <w:spacing w:after="0"/>
        <w:contextualSpacing/>
        <w:jc w:val="left"/>
      </w:pPr>
      <w:r>
        <w:br w:type="page"/>
      </w:r>
    </w:p>
    <w:p w14:paraId="4133D96E" w14:textId="41280596" w:rsidR="00960A56" w:rsidRDefault="00960A56" w:rsidP="00960A56">
      <w:pPr>
        <w:spacing w:after="0"/>
        <w:ind w:firstLine="720"/>
        <w:contextualSpacing/>
        <w:jc w:val="center"/>
      </w:pPr>
      <w:r w:rsidRPr="00960A56">
        <w:lastRenderedPageBreak/>
        <w:t>Current Legal Requirements for An Organization</w:t>
      </w:r>
    </w:p>
    <w:p w14:paraId="2104980E" w14:textId="48629A5B" w:rsidR="009F7741" w:rsidRDefault="0096483B" w:rsidP="00960A56">
      <w:pPr>
        <w:spacing w:after="0"/>
        <w:ind w:firstLine="720"/>
        <w:contextualSpacing/>
      </w:pPr>
      <w:r>
        <w:t xml:space="preserve">In addition to the many roles that human resource play in an organization, it is compliance. These people have the task of making sure that the mandates, </w:t>
      </w:r>
      <w:r>
        <w:t xml:space="preserve">policies, regulations, and procedures of the federal laws are adhered to without fail. The strict compliance with all these regulations is due to the ethical and legal risks associated with non-compliance. It is, therefore, the responsibility of the human </w:t>
      </w:r>
      <w:r>
        <w:t>resource managers</w:t>
      </w:r>
      <w:r w:rsidR="00022520">
        <w:t xml:space="preserve"> in partnership with the organization's legal department</w:t>
      </w:r>
      <w:r>
        <w:t xml:space="preserve"> </w:t>
      </w:r>
      <w:r w:rsidR="00022520">
        <w:t>to ensure that they have the basic knowledge of the existing federal laws relating to human resource practice.</w:t>
      </w:r>
    </w:p>
    <w:p w14:paraId="3C167D3A" w14:textId="5F5AADF7" w:rsidR="00022520" w:rsidRDefault="0096483B" w:rsidP="00960A56">
      <w:pPr>
        <w:spacing w:after="0"/>
        <w:ind w:firstLine="720"/>
        <w:contextualSpacing/>
      </w:pPr>
      <w:r>
        <w:t xml:space="preserve">One of the most popular legal </w:t>
      </w:r>
      <w:r w:rsidR="00967D66">
        <w:t>components</w:t>
      </w:r>
      <w:r>
        <w:t xml:space="preserve"> relating to human resource pra</w:t>
      </w:r>
      <w:r>
        <w:t xml:space="preserve">ctice is </w:t>
      </w:r>
      <w:r>
        <w:t>Title VII</w:t>
      </w:r>
      <w:r>
        <w:t>. This law is under the civil rights category, and it majorly deals with issues relating to discrimination in employment or workplace</w:t>
      </w:r>
      <w:r w:rsidR="002130F9">
        <w:t xml:space="preserve"> (</w:t>
      </w:r>
      <w:r w:rsidR="002130F9" w:rsidRPr="00C86BD9">
        <w:rPr>
          <w:rFonts w:eastAsia="Times New Roman" w:cs="Times New Roman"/>
          <w:szCs w:val="24"/>
        </w:rPr>
        <w:t>U.S. Equal Employment Opportunity Commission</w:t>
      </w:r>
      <w:r w:rsidR="002130F9">
        <w:rPr>
          <w:rFonts w:eastAsia="Times New Roman" w:cs="Times New Roman"/>
          <w:szCs w:val="24"/>
        </w:rPr>
        <w:t xml:space="preserve">, </w:t>
      </w:r>
      <w:r w:rsidR="002130F9" w:rsidRPr="00C86BD9">
        <w:rPr>
          <w:rFonts w:eastAsia="Times New Roman" w:cs="Times New Roman"/>
          <w:szCs w:val="24"/>
        </w:rPr>
        <w:t>2018)</w:t>
      </w:r>
      <w:r>
        <w:t xml:space="preserve">. </w:t>
      </w:r>
      <w:r w:rsidR="00AF3EE5">
        <w:t xml:space="preserve">Discrimination in the context of human resource practice means giving preference to a particular group of people </w:t>
      </w:r>
      <w:r w:rsidR="005D76F6">
        <w:t xml:space="preserve">just because of their race, color, gender, age, or religion, among other grounds. </w:t>
      </w:r>
      <w:r w:rsidR="00967D66">
        <w:t xml:space="preserve">There are numerous types of discriminations enlisted in Title VII of the </w:t>
      </w:r>
      <w:r w:rsidR="00485E04">
        <w:t>civil rights Act</w:t>
      </w:r>
      <w:r w:rsidR="00FD28D8">
        <w:t xml:space="preserve"> (</w:t>
      </w:r>
      <w:r w:rsidR="00FD28D8" w:rsidRPr="00C86BD9">
        <w:rPr>
          <w:rFonts w:eastAsia="Times New Roman" w:cs="Times New Roman"/>
          <w:szCs w:val="24"/>
        </w:rPr>
        <w:t>U.S. Equal Employment Opportunity Commission</w:t>
      </w:r>
      <w:r w:rsidR="00FD28D8">
        <w:rPr>
          <w:rFonts w:eastAsia="Times New Roman" w:cs="Times New Roman"/>
          <w:szCs w:val="24"/>
        </w:rPr>
        <w:t xml:space="preserve">, </w:t>
      </w:r>
      <w:r w:rsidR="00FD28D8" w:rsidRPr="00C86BD9">
        <w:rPr>
          <w:rFonts w:eastAsia="Times New Roman" w:cs="Times New Roman"/>
          <w:szCs w:val="24"/>
        </w:rPr>
        <w:t>2018)</w:t>
      </w:r>
      <w:r w:rsidR="00485E04">
        <w:t xml:space="preserve">. </w:t>
      </w:r>
      <w:r w:rsidR="004E1784">
        <w:t>These grounds of discrimination enlisted in this Act are age, pregnancy, religion, national origin</w:t>
      </w:r>
      <w:r w:rsidR="004B7925">
        <w:t>, or even</w:t>
      </w:r>
      <w:r w:rsidR="004E1784">
        <w:t xml:space="preserve"> genetic information</w:t>
      </w:r>
      <w:r w:rsidR="004B7925">
        <w:t xml:space="preserve">. </w:t>
      </w:r>
    </w:p>
    <w:p w14:paraId="1AC6EF02" w14:textId="0B2F4EEE" w:rsidR="004B7925" w:rsidRDefault="0096483B" w:rsidP="00960A56">
      <w:pPr>
        <w:spacing w:after="0"/>
        <w:ind w:firstLine="720"/>
        <w:contextualSpacing/>
      </w:pPr>
      <w:r>
        <w:t>As many as are the grounds of discrimination, it becomes increasingly easy to experience or w</w:t>
      </w:r>
      <w:r>
        <w:t xml:space="preserve">itness discrimination. An employer might be discriminating against employees in various ways.  For example, a case of discrimination by the employer might arise on the grounds of religious beliefs. </w:t>
      </w:r>
      <w:r w:rsidR="002E0524">
        <w:t>I</w:t>
      </w:r>
      <w:r>
        <w:t>n</w:t>
      </w:r>
      <w:r w:rsidR="002E0524">
        <w:t xml:space="preserve"> </w:t>
      </w:r>
      <w:r>
        <w:t xml:space="preserve">an organization </w:t>
      </w:r>
      <w:r w:rsidR="002E0524">
        <w:t xml:space="preserve">where there is an opportunity for promotion, and then diverse people apply, including all the genders, races, color, and religions, the shortlist should be diverse as the applicants. However, in case a particular specific group, say muslim are in the shortlist </w:t>
      </w:r>
      <w:r w:rsidR="006167E5">
        <w:t xml:space="preserve">alone, then the chances are high that there is discrimination against a religion </w:t>
      </w:r>
      <w:r w:rsidR="006167E5">
        <w:lastRenderedPageBreak/>
        <w:t>(</w:t>
      </w:r>
      <w:r w:rsidR="006167E5" w:rsidRPr="00C86BD9">
        <w:rPr>
          <w:rFonts w:eastAsia="Times New Roman" w:cs="Times New Roman"/>
          <w:szCs w:val="24"/>
        </w:rPr>
        <w:t>U.S. Equal Employment Opportunity Commission</w:t>
      </w:r>
      <w:r w:rsidR="006167E5">
        <w:rPr>
          <w:rFonts w:eastAsia="Times New Roman" w:cs="Times New Roman"/>
          <w:szCs w:val="24"/>
        </w:rPr>
        <w:t xml:space="preserve">, </w:t>
      </w:r>
      <w:r w:rsidR="006167E5" w:rsidRPr="00C86BD9">
        <w:rPr>
          <w:rFonts w:eastAsia="Times New Roman" w:cs="Times New Roman"/>
          <w:szCs w:val="24"/>
        </w:rPr>
        <w:t>2018)</w:t>
      </w:r>
      <w:r w:rsidR="002E0524">
        <w:t xml:space="preserve">. </w:t>
      </w:r>
      <w:r w:rsidR="003E1AC1">
        <w:t xml:space="preserve">Definitely, this is a form of discrimination </w:t>
      </w:r>
      <w:r w:rsidR="000225BC">
        <w:t>based on faith and is illegal.</w:t>
      </w:r>
    </w:p>
    <w:p w14:paraId="083677BC" w14:textId="55DA5CE4" w:rsidR="006C7177" w:rsidRDefault="0096483B" w:rsidP="00960A56">
      <w:pPr>
        <w:spacing w:after="0"/>
        <w:ind w:firstLine="720"/>
        <w:contextualSpacing/>
      </w:pPr>
      <w:r>
        <w:t>In such a situation, the employer has to</w:t>
      </w:r>
      <w:r>
        <w:t xml:space="preserve"> ensure that he lays down relevant policies regarding employment. </w:t>
      </w:r>
      <w:r w:rsidR="00245B5E">
        <w:t xml:space="preserve">One of them is by sensitizing the HR managers on the importance of compliance and the consequences of non-compliance. The shortlist should not be composed of one group of people </w:t>
      </w:r>
      <w:r w:rsidR="00E8336B">
        <w:t xml:space="preserve">when there was a large number of people who applied. </w:t>
      </w:r>
      <w:r w:rsidR="005338CA">
        <w:t>The shortlist should be as diverse as the applicants' list for the high degrees of fairness and compliance.</w:t>
      </w:r>
    </w:p>
    <w:p w14:paraId="320FBA6D" w14:textId="77777777" w:rsidR="00266346" w:rsidRDefault="0096483B" w:rsidP="00960A56">
      <w:pPr>
        <w:spacing w:after="0"/>
        <w:ind w:firstLine="720"/>
        <w:contextualSpacing/>
      </w:pPr>
      <w:r>
        <w:t xml:space="preserve">The </w:t>
      </w:r>
      <w:r w:rsidRPr="000423D4">
        <w:t>Equal Employment Opportunity Commission (EEOC)</w:t>
      </w:r>
      <w:r w:rsidR="002603D1">
        <w:t xml:space="preserve"> is the commission set up by the constitution of the United States to enforce and ensure full compliance of Title VII. </w:t>
      </w:r>
      <w:r w:rsidR="00755E7F">
        <w:t xml:space="preserve">The </w:t>
      </w:r>
      <w:r w:rsidR="00755E7F" w:rsidRPr="000423D4">
        <w:t>EEOC</w:t>
      </w:r>
      <w:r w:rsidR="00755E7F">
        <w:t xml:space="preserve"> ensures that every person who reports about discrimination of whatever nature by his employer is </w:t>
      </w:r>
      <w:r w:rsidR="00483C19">
        <w:t xml:space="preserve">first </w:t>
      </w:r>
      <w:r w:rsidR="00755E7F">
        <w:t xml:space="preserve">protected </w:t>
      </w:r>
      <w:r w:rsidR="00FD0998">
        <w:t xml:space="preserve">from retaliation and </w:t>
      </w:r>
      <w:r w:rsidR="00483C19">
        <w:t xml:space="preserve">then </w:t>
      </w:r>
      <w:r w:rsidR="00FD0998">
        <w:t>en</w:t>
      </w:r>
      <w:r w:rsidR="00483C19">
        <w:t>listed as the EEO complainant</w:t>
      </w:r>
      <w:r w:rsidR="00A17AA4">
        <w:t xml:space="preserve">. </w:t>
      </w:r>
      <w:r w:rsidR="00FD0998">
        <w:t xml:space="preserve"> </w:t>
      </w:r>
      <w:r w:rsidR="00322E0A">
        <w:t>In case the EEOC finds you guilty of discrimination as an employer, there are always hefty consequences for the organization. Due to this, HR managers should continuously ensure that no retaliation at all.</w:t>
      </w:r>
    </w:p>
    <w:p w14:paraId="352A8247" w14:textId="016B0F25" w:rsidR="003F5698" w:rsidRDefault="0096483B" w:rsidP="00960A56">
      <w:pPr>
        <w:spacing w:after="0"/>
        <w:ind w:firstLine="720"/>
        <w:contextualSpacing/>
      </w:pPr>
      <w:r>
        <w:t>There have been cases of retaliation before. An excellent exam</w:t>
      </w:r>
      <w:r>
        <w:t>ple to refer to is the December 2017 Laquila</w:t>
      </w:r>
      <w:r w:rsidR="003241CA">
        <w:t xml:space="preserve"> </w:t>
      </w:r>
      <w:r w:rsidR="003241CA" w:rsidRPr="003241CA">
        <w:t>Group Inc</w:t>
      </w:r>
      <w:r w:rsidR="003241CA">
        <w:t>. case. In this case, the company was accused of systemic discrimination of black construction laborers upon being paid for their case. The systemic discrimination, as described by EEOC, involved the company's employees calling the gorillas and such like names</w:t>
      </w:r>
      <w:r w:rsidR="007E3E4A">
        <w:t xml:space="preserve"> (</w:t>
      </w:r>
      <w:r w:rsidR="007E3E4A" w:rsidRPr="00C86BD9">
        <w:rPr>
          <w:rFonts w:eastAsia="Times New Roman" w:cs="Times New Roman"/>
          <w:szCs w:val="24"/>
        </w:rPr>
        <w:t>U.S. Equal Employment Opportunity Commission</w:t>
      </w:r>
      <w:r w:rsidR="007E3E4A">
        <w:rPr>
          <w:rFonts w:eastAsia="Times New Roman" w:cs="Times New Roman"/>
          <w:szCs w:val="24"/>
        </w:rPr>
        <w:t xml:space="preserve">, </w:t>
      </w:r>
      <w:r w:rsidR="007E3E4A" w:rsidRPr="00C86BD9">
        <w:rPr>
          <w:rFonts w:eastAsia="Times New Roman" w:cs="Times New Roman"/>
          <w:szCs w:val="24"/>
        </w:rPr>
        <w:t>20</w:t>
      </w:r>
      <w:r w:rsidR="007E3E4A">
        <w:rPr>
          <w:rFonts w:eastAsia="Times New Roman" w:cs="Times New Roman"/>
          <w:szCs w:val="24"/>
        </w:rPr>
        <w:t>1</w:t>
      </w:r>
      <w:r w:rsidR="006167E5">
        <w:rPr>
          <w:rFonts w:eastAsia="Times New Roman" w:cs="Times New Roman"/>
          <w:szCs w:val="24"/>
        </w:rPr>
        <w:t>8</w:t>
      </w:r>
      <w:r w:rsidR="007E3E4A" w:rsidRPr="00C86BD9">
        <w:rPr>
          <w:rFonts w:eastAsia="Times New Roman" w:cs="Times New Roman"/>
          <w:szCs w:val="24"/>
        </w:rPr>
        <w:t>)</w:t>
      </w:r>
      <w:r w:rsidR="003241CA">
        <w:t xml:space="preserve">. The results of the case </w:t>
      </w:r>
      <w:r w:rsidR="00C86BD9">
        <w:t>were</w:t>
      </w:r>
      <w:r w:rsidR="003241CA">
        <w:t xml:space="preserve"> that the company was required</w:t>
      </w:r>
      <w:r w:rsidR="007E620F">
        <w:t xml:space="preserve"> to</w:t>
      </w:r>
      <w:r w:rsidR="003241CA">
        <w:t xml:space="preserve"> adopt the most recent </w:t>
      </w:r>
      <w:r w:rsidR="00BE7A46">
        <w:t xml:space="preserve">anti-discrimination policies. The EEOC also provided the employees with </w:t>
      </w:r>
      <w:r w:rsidR="003E51CD">
        <w:t>a</w:t>
      </w:r>
      <w:r w:rsidR="00BE7A46">
        <w:t xml:space="preserve"> hotline they could report discrimination or retaliation through. </w:t>
      </w:r>
    </w:p>
    <w:p w14:paraId="75CC36E2" w14:textId="1216CD2A" w:rsidR="00C86BD9" w:rsidRDefault="0096483B" w:rsidP="00960A56">
      <w:pPr>
        <w:spacing w:after="0"/>
        <w:ind w:firstLine="720"/>
        <w:contextualSpacing/>
      </w:pPr>
      <w:r>
        <w:t xml:space="preserve">The HR managers should have applied some </w:t>
      </w:r>
      <w:r w:rsidR="007E620F">
        <w:t>strategies to ensure that no chances of retaliation should have occurred. One method was ensuring that there is an anti-retaliation policy in the company that prohibits retaliation</w:t>
      </w:r>
      <w:r>
        <w:t xml:space="preserve"> (</w:t>
      </w:r>
      <w:r w:rsidRPr="00C86BD9">
        <w:rPr>
          <w:rFonts w:eastAsia="Times New Roman" w:cs="Times New Roman"/>
          <w:szCs w:val="24"/>
        </w:rPr>
        <w:t>Muller, 2017)</w:t>
      </w:r>
      <w:r w:rsidR="007E620F">
        <w:t xml:space="preserve">. Therefore, any department or </w:t>
      </w:r>
      <w:r w:rsidR="007E620F">
        <w:lastRenderedPageBreak/>
        <w:t xml:space="preserve">employees practicing it were guilty of breaking the company policies. </w:t>
      </w:r>
      <w:r w:rsidR="00CE673C">
        <w:t>In this policy, it should be clearly stated that the victims of retaliation report immediately to the HR so that proper action can be taken against those found guilty. This individual HR policy can significantly reduce the chances of retaliation in the future.</w:t>
      </w:r>
    </w:p>
    <w:p w14:paraId="67E0BEB1" w14:textId="77777777" w:rsidR="00C86BD9" w:rsidRDefault="0096483B" w:rsidP="00960A56">
      <w:pPr>
        <w:spacing w:after="0"/>
        <w:contextualSpacing/>
        <w:jc w:val="left"/>
      </w:pPr>
      <w:r>
        <w:br w:type="page"/>
      </w:r>
    </w:p>
    <w:p w14:paraId="4C5B6310" w14:textId="77777777" w:rsidR="00C86BD9" w:rsidRPr="00C86BD9" w:rsidRDefault="0096483B" w:rsidP="00960A56">
      <w:pPr>
        <w:spacing w:after="0"/>
        <w:contextualSpacing/>
        <w:jc w:val="center"/>
        <w:rPr>
          <w:rFonts w:eastAsia="Times New Roman" w:cs="Times New Roman"/>
          <w:szCs w:val="24"/>
        </w:rPr>
      </w:pPr>
      <w:r w:rsidRPr="00C86BD9">
        <w:rPr>
          <w:rFonts w:eastAsia="Times New Roman" w:cs="Times New Roman"/>
          <w:szCs w:val="24"/>
        </w:rPr>
        <w:lastRenderedPageBreak/>
        <w:t>References</w:t>
      </w:r>
    </w:p>
    <w:p w14:paraId="68F44230" w14:textId="77777777" w:rsidR="00C86BD9" w:rsidRPr="00C86BD9" w:rsidRDefault="0096483B" w:rsidP="00960A56">
      <w:pPr>
        <w:spacing w:after="0"/>
        <w:ind w:left="720" w:right="375" w:hanging="720"/>
        <w:contextualSpacing/>
        <w:jc w:val="left"/>
        <w:rPr>
          <w:rFonts w:eastAsia="Times New Roman" w:cs="Times New Roman"/>
          <w:szCs w:val="24"/>
        </w:rPr>
      </w:pPr>
      <w:r w:rsidRPr="00C86BD9">
        <w:rPr>
          <w:rFonts w:eastAsia="Times New Roman" w:cs="Times New Roman"/>
          <w:szCs w:val="24"/>
        </w:rPr>
        <w:t xml:space="preserve">Muller, D. (2017). </w:t>
      </w:r>
      <w:r w:rsidRPr="00C86BD9">
        <w:rPr>
          <w:rFonts w:eastAsia="Times New Roman" w:cs="Times New Roman"/>
          <w:i/>
          <w:iCs/>
          <w:szCs w:val="24"/>
        </w:rPr>
        <w:t>Best Practices for Preventing and Addressing Retaliation</w:t>
      </w:r>
      <w:r w:rsidRPr="00C86BD9">
        <w:rPr>
          <w:rFonts w:eastAsia="Times New Roman" w:cs="Times New Roman"/>
          <w:szCs w:val="24"/>
        </w:rPr>
        <w:t xml:space="preserve">. Human Resources Management Software Solution | HR Acuity. </w:t>
      </w:r>
      <w:hyperlink r:id="rId6" w:history="1">
        <w:r w:rsidRPr="00C86BD9">
          <w:rPr>
            <w:rFonts w:eastAsia="Times New Roman" w:cs="Times New Roman"/>
            <w:color w:val="0000FF"/>
            <w:szCs w:val="24"/>
            <w:u w:val="single"/>
          </w:rPr>
          <w:t>https://www.hracui</w:t>
        </w:r>
        <w:r w:rsidRPr="00C86BD9">
          <w:rPr>
            <w:rFonts w:eastAsia="Times New Roman" w:cs="Times New Roman"/>
            <w:color w:val="0000FF"/>
            <w:szCs w:val="24"/>
            <w:u w:val="single"/>
          </w:rPr>
          <w:t>ty.com/blog/best-practices-for-preventing-and-addressing-retaliation</w:t>
        </w:r>
      </w:hyperlink>
    </w:p>
    <w:p w14:paraId="0932042B" w14:textId="77777777" w:rsidR="00C86BD9" w:rsidRPr="00C86BD9" w:rsidRDefault="0096483B" w:rsidP="00960A56">
      <w:pPr>
        <w:spacing w:after="0"/>
        <w:ind w:left="720" w:right="375" w:hanging="720"/>
        <w:contextualSpacing/>
        <w:jc w:val="left"/>
        <w:rPr>
          <w:rFonts w:eastAsia="Times New Roman" w:cs="Times New Roman"/>
          <w:szCs w:val="24"/>
        </w:rPr>
      </w:pPr>
      <w:r w:rsidRPr="00C86BD9">
        <w:rPr>
          <w:rFonts w:eastAsia="Times New Roman" w:cs="Times New Roman"/>
          <w:szCs w:val="24"/>
        </w:rPr>
        <w:t xml:space="preserve">NOLO. (2017, October 10). </w:t>
      </w:r>
      <w:r w:rsidRPr="00C86BD9">
        <w:rPr>
          <w:rFonts w:eastAsia="Times New Roman" w:cs="Times New Roman"/>
          <w:i/>
          <w:iCs/>
          <w:szCs w:val="24"/>
        </w:rPr>
        <w:t>Preventing Retaliation Claims by Employees</w:t>
      </w:r>
      <w:r w:rsidRPr="00C86BD9">
        <w:rPr>
          <w:rFonts w:eastAsia="Times New Roman" w:cs="Times New Roman"/>
          <w:szCs w:val="24"/>
        </w:rPr>
        <w:t xml:space="preserve">. Www.nolo.com. </w:t>
      </w:r>
      <w:hyperlink r:id="rId7" w:history="1">
        <w:r w:rsidRPr="00C86BD9">
          <w:rPr>
            <w:rFonts w:eastAsia="Times New Roman" w:cs="Times New Roman"/>
            <w:color w:val="0000FF"/>
            <w:szCs w:val="24"/>
            <w:u w:val="single"/>
          </w:rPr>
          <w:t>https://www.nolo.com/legal-encyclopedia/preventing-retaliation-claims-by-employees-29599.html</w:t>
        </w:r>
      </w:hyperlink>
    </w:p>
    <w:p w14:paraId="5E9EF68B" w14:textId="77777777" w:rsidR="00C86BD9" w:rsidRPr="00C86BD9" w:rsidRDefault="0096483B" w:rsidP="00960A56">
      <w:pPr>
        <w:spacing w:after="0"/>
        <w:ind w:left="720" w:right="375" w:hanging="720"/>
        <w:contextualSpacing/>
        <w:jc w:val="left"/>
        <w:rPr>
          <w:rFonts w:eastAsia="Times New Roman" w:cs="Times New Roman"/>
          <w:szCs w:val="24"/>
        </w:rPr>
      </w:pPr>
      <w:r w:rsidRPr="00C86BD9">
        <w:rPr>
          <w:rFonts w:eastAsia="Times New Roman" w:cs="Times New Roman"/>
          <w:szCs w:val="24"/>
        </w:rPr>
        <w:t xml:space="preserve">U.S. Equal Employment Opportunity Commission. (2019, May 1). </w:t>
      </w:r>
      <w:r w:rsidRPr="00C86BD9">
        <w:rPr>
          <w:rFonts w:eastAsia="Times New Roman" w:cs="Times New Roman"/>
          <w:i/>
          <w:iCs/>
          <w:szCs w:val="24"/>
        </w:rPr>
        <w:t>Protections Against Discrimination and Other Prohibited Practices</w:t>
      </w:r>
      <w:r w:rsidRPr="00C86BD9">
        <w:rPr>
          <w:rFonts w:eastAsia="Times New Roman" w:cs="Times New Roman"/>
          <w:szCs w:val="24"/>
        </w:rPr>
        <w:t xml:space="preserve">. Federal Trade Commission. </w:t>
      </w:r>
      <w:hyperlink r:id="rId8" w:history="1">
        <w:r w:rsidRPr="00C86BD9">
          <w:rPr>
            <w:rFonts w:eastAsia="Times New Roman" w:cs="Times New Roman"/>
            <w:color w:val="0000FF"/>
            <w:szCs w:val="24"/>
            <w:u w:val="single"/>
          </w:rPr>
          <w:t>https://www.ftc.gov/site-information/no-fear-act/protections-against-discrimination</w:t>
        </w:r>
      </w:hyperlink>
    </w:p>
    <w:bookmarkEnd w:id="0"/>
    <w:p w14:paraId="305DCFD2" w14:textId="77777777" w:rsidR="00C86BD9" w:rsidRPr="00967D66" w:rsidRDefault="00C86BD9" w:rsidP="00960A56">
      <w:pPr>
        <w:spacing w:after="0"/>
        <w:contextualSpacing/>
        <w:jc w:val="center"/>
      </w:pPr>
    </w:p>
    <w:sectPr w:rsidR="00C86BD9" w:rsidRPr="00967D66" w:rsidSect="0071170A">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A9F98" w14:textId="77777777" w:rsidR="0096483B" w:rsidRDefault="0096483B">
      <w:pPr>
        <w:spacing w:after="0" w:line="240" w:lineRule="auto"/>
      </w:pPr>
      <w:r>
        <w:separator/>
      </w:r>
    </w:p>
  </w:endnote>
  <w:endnote w:type="continuationSeparator" w:id="0">
    <w:p w14:paraId="43F29D1A" w14:textId="77777777" w:rsidR="0096483B" w:rsidRDefault="00964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A0A80" w14:textId="77777777" w:rsidR="0096483B" w:rsidRDefault="0096483B">
      <w:pPr>
        <w:spacing w:after="0" w:line="240" w:lineRule="auto"/>
      </w:pPr>
      <w:r>
        <w:separator/>
      </w:r>
    </w:p>
  </w:footnote>
  <w:footnote w:type="continuationSeparator" w:id="0">
    <w:p w14:paraId="57836231" w14:textId="77777777" w:rsidR="0096483B" w:rsidRDefault="009648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DE2BB" w14:textId="46FC67C4" w:rsidR="0071170A" w:rsidRDefault="0096483B">
    <w:pPr>
      <w:pStyle w:val="Header"/>
      <w:jc w:val="right"/>
    </w:pPr>
    <w:r w:rsidRPr="0071170A">
      <w:t xml:space="preserve">CURRENT LEGAL REQUIREMENTS FOR AN ORGANIZATION </w:t>
    </w:r>
    <w:r>
      <w:tab/>
    </w:r>
    <w:sdt>
      <w:sdtPr>
        <w:id w:val="-1768383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0A56">
          <w:rPr>
            <w:noProof/>
          </w:rPr>
          <w:t>2</w:t>
        </w:r>
        <w:r>
          <w:rPr>
            <w:noProof/>
          </w:rPr>
          <w:fldChar w:fldCharType="end"/>
        </w:r>
      </w:sdtContent>
    </w:sdt>
  </w:p>
  <w:p w14:paraId="0945C8C0" w14:textId="77777777" w:rsidR="0071170A" w:rsidRDefault="007117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18FD2" w14:textId="1FD330A3" w:rsidR="0071170A" w:rsidRDefault="0096483B">
    <w:pPr>
      <w:pStyle w:val="Header"/>
      <w:jc w:val="right"/>
    </w:pPr>
    <w:r>
      <w:t xml:space="preserve">Running head: </w:t>
    </w:r>
    <w:r w:rsidRPr="0071170A">
      <w:t>CURRENT LEGAL REQUIREMENTS FOR AN ORGANIZATION</w:t>
    </w:r>
    <w:r>
      <w:tab/>
    </w:r>
    <w:r w:rsidRPr="0071170A">
      <w:t xml:space="preserve"> </w:t>
    </w:r>
    <w:sdt>
      <w:sdtPr>
        <w:id w:val="-6642456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0A56">
          <w:rPr>
            <w:noProof/>
          </w:rPr>
          <w:t>1</w:t>
        </w:r>
        <w:r>
          <w:rPr>
            <w:noProof/>
          </w:rPr>
          <w:fldChar w:fldCharType="end"/>
        </w:r>
      </w:sdtContent>
    </w:sdt>
  </w:p>
  <w:p w14:paraId="7D67320D" w14:textId="77777777" w:rsidR="0071170A" w:rsidRDefault="007117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975"/>
    <w:rsid w:val="00022520"/>
    <w:rsid w:val="000225BC"/>
    <w:rsid w:val="000423D4"/>
    <w:rsid w:val="00181983"/>
    <w:rsid w:val="001D724B"/>
    <w:rsid w:val="001F39ED"/>
    <w:rsid w:val="002130F9"/>
    <w:rsid w:val="00245B5E"/>
    <w:rsid w:val="002603D1"/>
    <w:rsid w:val="00266346"/>
    <w:rsid w:val="002E0524"/>
    <w:rsid w:val="00322E0A"/>
    <w:rsid w:val="003241CA"/>
    <w:rsid w:val="003E1AC1"/>
    <w:rsid w:val="003E51CD"/>
    <w:rsid w:val="003F5698"/>
    <w:rsid w:val="00483C19"/>
    <w:rsid w:val="00485E04"/>
    <w:rsid w:val="004B7925"/>
    <w:rsid w:val="004E1784"/>
    <w:rsid w:val="005338CA"/>
    <w:rsid w:val="005D76F6"/>
    <w:rsid w:val="006167E5"/>
    <w:rsid w:val="00637A79"/>
    <w:rsid w:val="00685975"/>
    <w:rsid w:val="006C7177"/>
    <w:rsid w:val="0071170A"/>
    <w:rsid w:val="00755E7F"/>
    <w:rsid w:val="007E3E4A"/>
    <w:rsid w:val="007E620F"/>
    <w:rsid w:val="008A543E"/>
    <w:rsid w:val="00960A56"/>
    <w:rsid w:val="0096483B"/>
    <w:rsid w:val="00967D66"/>
    <w:rsid w:val="009C59DF"/>
    <w:rsid w:val="009F7741"/>
    <w:rsid w:val="00A17AA4"/>
    <w:rsid w:val="00AF3EE5"/>
    <w:rsid w:val="00B36692"/>
    <w:rsid w:val="00BE7A46"/>
    <w:rsid w:val="00C86BD9"/>
    <w:rsid w:val="00CE673C"/>
    <w:rsid w:val="00E76C98"/>
    <w:rsid w:val="00E8336B"/>
    <w:rsid w:val="00FD0998"/>
    <w:rsid w:val="00FD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24B351-C83E-4A4A-A710-8FC5DDEF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6BD9"/>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C86BD9"/>
    <w:rPr>
      <w:i/>
      <w:iCs/>
    </w:rPr>
  </w:style>
  <w:style w:type="character" w:styleId="Hyperlink">
    <w:name w:val="Hyperlink"/>
    <w:basedOn w:val="DefaultParagraphFont"/>
    <w:uiPriority w:val="99"/>
    <w:semiHidden/>
    <w:unhideWhenUsed/>
    <w:rsid w:val="00C86BD9"/>
    <w:rPr>
      <w:color w:val="0000FF"/>
      <w:u w:val="single"/>
    </w:rPr>
  </w:style>
  <w:style w:type="paragraph" w:styleId="Header">
    <w:name w:val="header"/>
    <w:basedOn w:val="Normal"/>
    <w:link w:val="HeaderChar"/>
    <w:uiPriority w:val="99"/>
    <w:unhideWhenUsed/>
    <w:rsid w:val="00711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70A"/>
    <w:rPr>
      <w:rFonts w:ascii="Times New Roman" w:hAnsi="Times New Roman"/>
      <w:sz w:val="24"/>
    </w:rPr>
  </w:style>
  <w:style w:type="paragraph" w:styleId="Footer">
    <w:name w:val="footer"/>
    <w:basedOn w:val="Normal"/>
    <w:link w:val="FooterChar"/>
    <w:uiPriority w:val="99"/>
    <w:unhideWhenUsed/>
    <w:rsid w:val="00711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70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tc.gov/site-information/no-fear-act/protections-against-discrimination" TargetMode="External"/><Relationship Id="rId3" Type="http://schemas.openxmlformats.org/officeDocument/2006/relationships/webSettings" Target="webSettings.xml"/><Relationship Id="rId7" Type="http://schemas.openxmlformats.org/officeDocument/2006/relationships/hyperlink" Target="https://www.nolo.com/legal-encyclopedia/preventing-retaliation-claims-by-employees-29599.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racuity.com/blog/best-practices-for-preventing-and-addressing-retaliatio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2020-02-06T19:33:00Z</dcterms:created>
  <dcterms:modified xsi:type="dcterms:W3CDTF">2020-02-08T02:27:00Z</dcterms:modified>
</cp:coreProperties>
</file>